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43" w:rsidRPr="0046633C" w:rsidRDefault="00212E43" w:rsidP="00212E43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contextualSpacing w:val="0"/>
        <w:jc w:val="both"/>
        <w:rPr>
          <w:rFonts w:ascii="Bookman Old Style" w:hAnsi="Bookman Old Style" w:cs="Tahoma"/>
          <w:b/>
          <w:sz w:val="24"/>
          <w:szCs w:val="24"/>
        </w:rPr>
      </w:pPr>
      <w:proofErr w:type="spellStart"/>
      <w:r w:rsidRPr="00F47A24">
        <w:rPr>
          <w:rFonts w:ascii="Bookman Old Style" w:hAnsi="Bookman Old Style" w:cs="Tahoma"/>
          <w:b/>
          <w:sz w:val="24"/>
          <w:szCs w:val="24"/>
        </w:rPr>
        <w:t>Arah</w:t>
      </w:r>
      <w:proofErr w:type="spellEnd"/>
      <w:r w:rsidRPr="00F47A24">
        <w:rPr>
          <w:rFonts w:ascii="Bookman Old Style" w:hAnsi="Bookman Old Style" w:cs="Tahoma"/>
          <w:b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b/>
          <w:sz w:val="24"/>
          <w:szCs w:val="24"/>
        </w:rPr>
        <w:t>Kebijakan</w:t>
      </w:r>
      <w:proofErr w:type="spellEnd"/>
      <w:r w:rsidRPr="00F47A24">
        <w:rPr>
          <w:rFonts w:ascii="Bookman Old Style" w:hAnsi="Bookman Old Style" w:cs="Tahoma"/>
          <w:b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b/>
          <w:sz w:val="24"/>
          <w:szCs w:val="24"/>
        </w:rPr>
        <w:t>Keuangan</w:t>
      </w:r>
      <w:proofErr w:type="spellEnd"/>
      <w:r w:rsidRPr="00F47A24">
        <w:rPr>
          <w:rFonts w:ascii="Bookman Old Style" w:hAnsi="Bookman Old Style" w:cs="Tahoma"/>
          <w:b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b/>
          <w:sz w:val="24"/>
          <w:szCs w:val="24"/>
        </w:rPr>
        <w:t>Desa</w:t>
      </w:r>
      <w:proofErr w:type="spellEnd"/>
      <w:r w:rsidRPr="00F47A24">
        <w:rPr>
          <w:rFonts w:ascii="Bookman Old Style" w:hAnsi="Bookman Old Style" w:cs="Tahoma"/>
          <w:b/>
          <w:sz w:val="24"/>
          <w:szCs w:val="24"/>
        </w:rPr>
        <w:t xml:space="preserve"> </w:t>
      </w:r>
      <w:r w:rsidRPr="00F47A24">
        <w:rPr>
          <w:rFonts w:ascii="Bookman Old Style" w:hAnsi="Bookman Old Style" w:cs="Tahoma"/>
          <w:b/>
          <w:sz w:val="24"/>
          <w:szCs w:val="24"/>
        </w:rPr>
        <w:tab/>
      </w:r>
    </w:p>
    <w:p w:rsidR="00212E43" w:rsidRPr="0046633C" w:rsidRDefault="00212E43" w:rsidP="00212E43">
      <w:pPr>
        <w:pStyle w:val="ListParagraph"/>
        <w:tabs>
          <w:tab w:val="left" w:pos="426"/>
        </w:tabs>
        <w:spacing w:after="0" w:line="360" w:lineRule="auto"/>
        <w:ind w:left="0"/>
        <w:contextualSpacing w:val="0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212E43" w:rsidRPr="00F47A24" w:rsidRDefault="00212E43" w:rsidP="00212E43">
      <w:pPr>
        <w:tabs>
          <w:tab w:val="left" w:pos="1276"/>
        </w:tabs>
        <w:spacing w:after="0" w:line="360" w:lineRule="auto"/>
        <w:ind w:left="426" w:firstLine="850"/>
        <w:jc w:val="both"/>
        <w:rPr>
          <w:rFonts w:ascii="Bookman Old Style" w:hAnsi="Bookman Old Style" w:cs="Tahoma"/>
          <w:sz w:val="24"/>
          <w:szCs w:val="24"/>
        </w:rPr>
      </w:pPr>
      <w:proofErr w:type="spellStart"/>
      <w:proofErr w:type="gramStart"/>
      <w:r w:rsidRPr="00F47A24">
        <w:rPr>
          <w:rFonts w:ascii="Bookman Old Style" w:hAnsi="Bookman Old Style" w:cs="Tahoma"/>
          <w:sz w:val="24"/>
          <w:szCs w:val="24"/>
        </w:rPr>
        <w:t>Kebijakan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pengelolaan</w:t>
      </w:r>
      <w:proofErr w:type="spellEnd"/>
      <w:proofErr w:type="gramEnd"/>
      <w:r w:rsidRPr="00F47A24">
        <w:rPr>
          <w:rFonts w:ascii="Bookman Old Style" w:hAnsi="Bookman Old Style" w:cs="Tahoma"/>
          <w:sz w:val="24"/>
          <w:szCs w:val="24"/>
        </w:rPr>
        <w:t xml:space="preserve"> 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keuangan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desa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tidak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terlepas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dari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kebijakan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desentralisasi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dan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otonomi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daerah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yang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dilakukan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dengan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menekankan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pada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prinsip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i/>
          <w:sz w:val="24"/>
          <w:szCs w:val="24"/>
        </w:rPr>
        <w:t>Transparansi</w:t>
      </w:r>
      <w:proofErr w:type="spellEnd"/>
      <w:r w:rsidRPr="00F47A24">
        <w:rPr>
          <w:rFonts w:ascii="Bookman Old Style" w:hAnsi="Bookman Old Style" w:cs="Tahoma"/>
          <w:i/>
          <w:sz w:val="24"/>
          <w:szCs w:val="24"/>
        </w:rPr>
        <w:t xml:space="preserve"> dan </w:t>
      </w:r>
      <w:proofErr w:type="spellStart"/>
      <w:r w:rsidRPr="00F47A24">
        <w:rPr>
          <w:rFonts w:ascii="Bookman Old Style" w:hAnsi="Bookman Old Style" w:cs="Tahoma"/>
          <w:i/>
          <w:sz w:val="24"/>
          <w:szCs w:val="24"/>
        </w:rPr>
        <w:t>akuntabel</w:t>
      </w:r>
      <w:proofErr w:type="spellEnd"/>
      <w:r w:rsidRPr="00F47A24">
        <w:rPr>
          <w:rFonts w:ascii="Bookman Old Style" w:hAnsi="Bookman Old Style" w:cs="Tahoma"/>
          <w:i/>
          <w:sz w:val="24"/>
          <w:szCs w:val="24"/>
        </w:rPr>
        <w:t>.</w:t>
      </w:r>
    </w:p>
    <w:p w:rsidR="00212E43" w:rsidRPr="00F47A24" w:rsidRDefault="00212E43" w:rsidP="00212E43">
      <w:pPr>
        <w:tabs>
          <w:tab w:val="left" w:pos="1276"/>
        </w:tabs>
        <w:spacing w:after="0" w:line="360" w:lineRule="auto"/>
        <w:ind w:left="426" w:firstLine="850"/>
        <w:jc w:val="both"/>
        <w:rPr>
          <w:rFonts w:ascii="Bookman Old Style" w:hAnsi="Bookman Old Style" w:cs="Tahoma"/>
          <w:sz w:val="24"/>
          <w:szCs w:val="24"/>
        </w:rPr>
      </w:pPr>
      <w:r w:rsidRPr="00F47A24">
        <w:rPr>
          <w:rFonts w:ascii="Bookman Old Style" w:hAnsi="Bookman Old Style" w:cs="Tahoma"/>
          <w:sz w:val="24"/>
          <w:szCs w:val="24"/>
        </w:rPr>
        <w:t xml:space="preserve">Inti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perubahan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yang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akan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dilakukan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antara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lain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mempertajam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esensi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pengelolaan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keuangan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desa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dalam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sistem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penyelenggaraan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pemerintahan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desa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yang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menyangkut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penjabaran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hak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dan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kewajiban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desa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dalam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mengelola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keuangan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publik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,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meliputi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mekanisme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penyusunan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,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pelaksanaan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dan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penatausahaan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,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pengendalian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dan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pengawasan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serta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pertanggungjawaban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keuangan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desa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.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Pengelolaan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keuangan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Desa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dilandaskan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pada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peraturan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perundang-undangan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>.</w:t>
      </w:r>
    </w:p>
    <w:p w:rsidR="00212E43" w:rsidRPr="00F47A24" w:rsidRDefault="00212E43" w:rsidP="00212E43">
      <w:pPr>
        <w:tabs>
          <w:tab w:val="left" w:pos="1276"/>
        </w:tabs>
        <w:spacing w:after="0" w:line="360" w:lineRule="auto"/>
        <w:ind w:left="426" w:firstLine="850"/>
        <w:jc w:val="both"/>
        <w:rPr>
          <w:rFonts w:ascii="Bookman Old Style" w:hAnsi="Bookman Old Style" w:cs="Tahoma"/>
          <w:sz w:val="24"/>
          <w:szCs w:val="24"/>
        </w:rPr>
      </w:pPr>
      <w:proofErr w:type="spellStart"/>
      <w:r w:rsidRPr="00F47A24">
        <w:rPr>
          <w:rFonts w:ascii="Bookman Old Style" w:hAnsi="Bookman Old Style" w:cs="Tahoma"/>
          <w:sz w:val="24"/>
          <w:szCs w:val="24"/>
        </w:rPr>
        <w:t>Sumber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pendapatan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desa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terdiri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dari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Pendapatan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Asli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Desa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, Dana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Desa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dari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APBN,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bagi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hasil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Pajak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dan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Retribusi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Daerah,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Alokasi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Dana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Desa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(ADD),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bantuan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keuangan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dari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pemerintah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pusat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>/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propinsi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>/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kabupaten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maupun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lain-lain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pendapatan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desa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yang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sah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. </w:t>
      </w:r>
    </w:p>
    <w:p w:rsidR="00197B07" w:rsidRDefault="00212E43" w:rsidP="00212E43">
      <w:proofErr w:type="spellStart"/>
      <w:r w:rsidRPr="00F47A24">
        <w:rPr>
          <w:rFonts w:ascii="Bookman Old Style" w:hAnsi="Bookman Old Style" w:cs="Tahoma"/>
          <w:sz w:val="24"/>
          <w:szCs w:val="24"/>
        </w:rPr>
        <w:t>Pengelolaan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pendapatan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desa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bertujuan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untuk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mengoptimalkan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sumber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pendapatan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desa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untuk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meningkatkan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kapasitas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fiskal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desa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dengan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tujuan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memaksimalkan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pelayanan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kepada</w:t>
      </w:r>
      <w:proofErr w:type="spellEnd"/>
      <w:r w:rsidRPr="00F47A2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F47A24">
        <w:rPr>
          <w:rFonts w:ascii="Bookman Old Style" w:hAnsi="Bookman Old Style" w:cs="Tahoma"/>
          <w:sz w:val="24"/>
          <w:szCs w:val="24"/>
        </w:rPr>
        <w:t>masyarakat</w:t>
      </w:r>
      <w:bookmarkStart w:id="0" w:name="_GoBack"/>
      <w:bookmarkEnd w:id="0"/>
      <w:proofErr w:type="spellEnd"/>
    </w:p>
    <w:sectPr w:rsidR="00197B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54EB1"/>
    <w:multiLevelType w:val="hybridMultilevel"/>
    <w:tmpl w:val="3FB448F4"/>
    <w:lvl w:ilvl="0" w:tplc="55644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43"/>
    <w:rsid w:val="00197B07"/>
    <w:rsid w:val="0021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FB18F-D648-4FD5-B231-77C94718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2E4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12E43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locked/>
    <w:rsid w:val="00212E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2019-10-16T13:31:00Z</dcterms:created>
  <dcterms:modified xsi:type="dcterms:W3CDTF">2019-10-16T13:32:00Z</dcterms:modified>
</cp:coreProperties>
</file>